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C7" w:rsidRDefault="00DF46C7" w:rsidP="00C75977">
      <w:pPr>
        <w:autoSpaceDE w:val="0"/>
        <w:autoSpaceDN w:val="0"/>
        <w:adjustRightInd w:val="0"/>
        <w:spacing w:after="0" w:line="240" w:lineRule="auto"/>
        <w:jc w:val="both"/>
        <w:rPr>
          <w:rFonts w:ascii="Times New Roman" w:hAnsi="Times New Roman" w:cs="Times New Roman"/>
          <w:b/>
          <w:bCs/>
          <w:i/>
          <w:iCs/>
          <w:sz w:val="28"/>
          <w:szCs w:val="28"/>
          <w:lang w:eastAsia="cs-CZ"/>
        </w:rPr>
      </w:pPr>
      <w:r>
        <w:rPr>
          <w:rFonts w:ascii="Times New Roman" w:hAnsi="Times New Roman" w:cs="Times New Roman"/>
          <w:b/>
          <w:bCs/>
          <w:i/>
          <w:iCs/>
          <w:sz w:val="28"/>
          <w:szCs w:val="28"/>
          <w:lang w:eastAsia="cs-CZ"/>
        </w:rPr>
        <w:t>Seznam zakázaných látek a metod pro rok 2015</w:t>
      </w:r>
    </w:p>
    <w:p w:rsidR="00DF46C7" w:rsidRDefault="00DF46C7" w:rsidP="00C75977">
      <w:pPr>
        <w:autoSpaceDE w:val="0"/>
        <w:autoSpaceDN w:val="0"/>
        <w:adjustRightInd w:val="0"/>
        <w:spacing w:after="0" w:line="240" w:lineRule="auto"/>
        <w:jc w:val="both"/>
        <w:rPr>
          <w:rFonts w:ascii="Times New Roman" w:hAnsi="Times New Roman" w:cs="Times New Roman"/>
          <w:b/>
          <w:bCs/>
          <w:i/>
          <w:iCs/>
          <w:sz w:val="28"/>
          <w:szCs w:val="28"/>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b/>
          <w:bCs/>
          <w:i/>
          <w:iCs/>
          <w:sz w:val="24"/>
          <w:szCs w:val="24"/>
          <w:lang w:eastAsia="cs-CZ"/>
        </w:rPr>
      </w:pPr>
      <w:r>
        <w:rPr>
          <w:rFonts w:ascii="Times New Roman" w:hAnsi="Times New Roman" w:cs="Times New Roman"/>
          <w:b/>
          <w:bCs/>
          <w:i/>
          <w:iCs/>
          <w:sz w:val="24"/>
          <w:szCs w:val="24"/>
          <w:lang w:eastAsia="cs-CZ"/>
        </w:rPr>
        <w:t xml:space="preserve">Souhrn hlavních změn a vysvětlivky </w:t>
      </w:r>
    </w:p>
    <w:p w:rsidR="00DF46C7" w:rsidRDefault="00DF46C7" w:rsidP="00C75977">
      <w:pPr>
        <w:autoSpaceDE w:val="0"/>
        <w:autoSpaceDN w:val="0"/>
        <w:adjustRightInd w:val="0"/>
        <w:spacing w:after="0" w:line="240" w:lineRule="auto"/>
        <w:jc w:val="both"/>
        <w:rPr>
          <w:rFonts w:ascii="Times New Roman" w:hAnsi="Times New Roman" w:cs="Times New Roman"/>
          <w:b/>
          <w:bCs/>
          <w:i/>
          <w:iCs/>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LÁTKY A METODY ZAKÁZÁNÉ STÁLE (PŘI SOUTĚŽI  I MIMO SOUTĚŽ) </w:t>
      </w:r>
    </w:p>
    <w:p w:rsidR="00DF46C7" w:rsidRDefault="00DF46C7" w:rsidP="00C75977">
      <w:pPr>
        <w:pStyle w:val="Default"/>
        <w:jc w:val="both"/>
        <w:rPr>
          <w:rFonts w:ascii="Times New Roman" w:hAnsi="Times New Roman" w:cs="Times New Roman"/>
          <w:b/>
          <w:bCs/>
          <w:color w:val="auto"/>
          <w:sz w:val="22"/>
          <w:szCs w:val="22"/>
          <w:lang w:eastAsia="cs-CZ"/>
        </w:rPr>
      </w:pPr>
    </w:p>
    <w:p w:rsidR="00DF46C7" w:rsidRDefault="00DF46C7" w:rsidP="00C75977">
      <w:pPr>
        <w:pStyle w:val="Default"/>
        <w:jc w:val="both"/>
        <w:rPr>
          <w:rFonts w:ascii="Times New Roman" w:hAnsi="Times New Roman" w:cs="Times New Roman"/>
          <w:b/>
          <w:bCs/>
          <w:color w:val="auto"/>
          <w:sz w:val="22"/>
          <w:szCs w:val="22"/>
          <w:lang w:eastAsia="cs-CZ"/>
        </w:rPr>
      </w:pPr>
      <w:r>
        <w:rPr>
          <w:rFonts w:ascii="Times New Roman" w:hAnsi="Times New Roman" w:cs="Times New Roman"/>
          <w:b/>
          <w:bCs/>
          <w:color w:val="auto"/>
          <w:sz w:val="22"/>
          <w:szCs w:val="22"/>
          <w:lang w:eastAsia="cs-CZ"/>
        </w:rPr>
        <w:t xml:space="preserve">ZAKÁZANÉ LÁTKY </w:t>
      </w:r>
    </w:p>
    <w:p w:rsidR="00DF46C7" w:rsidRDefault="00DF46C7" w:rsidP="00C75977">
      <w:pPr>
        <w:autoSpaceDE w:val="0"/>
        <w:autoSpaceDN w:val="0"/>
        <w:spacing w:after="0" w:line="240" w:lineRule="auto"/>
        <w:rPr>
          <w:rFonts w:ascii="Verdana" w:hAnsi="Verdana" w:cs="Verdana"/>
          <w:color w:val="000000"/>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S1. Anabolické látky</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Změny byly provedeny, aby vyjadřovaly platné názvosloví. </w:t>
      </w:r>
    </w:p>
    <w:p w:rsidR="00DF46C7" w:rsidRDefault="00DF46C7" w:rsidP="00C75977">
      <w:pPr>
        <w:pStyle w:val="Default"/>
        <w:rPr>
          <w:rFonts w:ascii="Times New Roman" w:hAnsi="Times New Roman" w:cs="Times New Roman"/>
          <w:color w:val="auto"/>
          <w:lang w:eastAsia="cs-CZ"/>
        </w:rPr>
      </w:pPr>
      <w:r>
        <w:rPr>
          <w:rFonts w:ascii="Times New Roman" w:hAnsi="Times New Roman" w:cs="Times New Roman"/>
          <w:color w:val="auto"/>
          <w:lang w:eastAsia="cs-CZ"/>
        </w:rPr>
        <w:sym w:font="Symbol" w:char="F0B7"/>
      </w:r>
      <w:r>
        <w:rPr>
          <w:rFonts w:ascii="Times New Roman" w:hAnsi="Times New Roman" w:cs="Times New Roman"/>
          <w:color w:val="auto"/>
          <w:lang w:eastAsia="cs-CZ"/>
        </w:rPr>
        <w:t xml:space="preserve"> 5β-androstan-3α,17β-diol byl přidán mezi příklady metabolitů testosteronu.</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S2. Peptidové hormony, růstové faktory, příbuzné látky a mimetika</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Změnil se název této sekce: Byla přidána mimetika s ohledem na skutečnost, že do této části syntetické analogy též spadají.</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Upozorňuje se, že všechny látky, uvedené  jako příklady v této revidované části seznamu zakázaných látek pro rok 2015, byly již zakázané v předchozím platném seznamu.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ESA(prostředky stimulující erytropoézu) sub-sekce byla rozšířena o ne-erytropoietické agonisty EPO-receptorů.</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Navíc pro subsekci obsahující stabilizátory HIF(hypoxii vyvolávající faktory) byl vytvořen samostatný odstavec, který zdůrazní rostoucí význam těchto léků a specificky  identifikuje HIF aktivátory xenonu a argonu. Za zmínku stojí, že kyanokobalamin (vitamin B12) není zakázán.</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Byly nyní stanoveny příklady uvolňujících faktorů choriových gonadotropinů (CG) a luteinizačního hormonu (LH).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Jako příklad byl přidán uvolňující faktor Kortikotrofinu.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Uvolňující faktory růstového hormonu byly přesněji kategorizovány a několik jejich příkladů bylo přidáno pro ilustraci kvůli jejich jiným farmakologickým vlastnostem.</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IGF-1 byla přesunut do jiné sekce růstových faktorů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Za zmínku stojí, že plasma vyrobená z krevních destiček není zakázaná.</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S4. Hormonální a metabolické modulátory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Trimetazidin byl původně součástí skupiny S6.b založené na podobnosti jeho chemické struktury s některým z uvedených stimulantů. Byl přesunut do nově vytvořené sub sekce S4.5.c, protože  je farmakologicky klasifikován jako modulátor srdečního metabolismu.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AMPK aktivátory byly znovu klasifikovány, aby vyjádřily aktuální názvosloví.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S5. Diuretika a maskovací látky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Název a následující odstavce byly upraveny odstraněním slova "ostatní", aby pojem diuretika lépe odrážel fakt, že nejsou jen maskovací látkou, ale že můžou být též zneužita pro jiné účely, jako je jejich užití zejména pro rychlé zhubnutí.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Poslední odstavec byl pro lepší srozumitelnost přeformulován. Zásady a postupy uvedené v předchozí verzi Seznamu zakázaných látek zůstávají nezměněny.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pStyle w:val="Default"/>
        <w:jc w:val="both"/>
        <w:rPr>
          <w:rFonts w:ascii="Times New Roman" w:hAnsi="Times New Roman" w:cs="Times New Roman"/>
          <w:b/>
          <w:bCs/>
          <w:color w:val="auto"/>
          <w:sz w:val="22"/>
          <w:szCs w:val="22"/>
          <w:lang w:eastAsia="cs-CZ"/>
        </w:rPr>
      </w:pPr>
      <w:r>
        <w:rPr>
          <w:rFonts w:ascii="Times New Roman" w:hAnsi="Times New Roman" w:cs="Times New Roman"/>
          <w:b/>
          <w:bCs/>
          <w:color w:val="auto"/>
          <w:sz w:val="22"/>
          <w:szCs w:val="22"/>
          <w:lang w:eastAsia="cs-CZ"/>
        </w:rPr>
        <w:t xml:space="preserve">ZAKÁZANÉ METODY </w:t>
      </w:r>
    </w:p>
    <w:p w:rsidR="00DF46C7" w:rsidRDefault="00DF46C7" w:rsidP="00C75977">
      <w:pPr>
        <w:pStyle w:val="Default"/>
        <w:jc w:val="both"/>
        <w:rPr>
          <w:rFonts w:ascii="Times New Roman" w:hAnsi="Times New Roman" w:cs="Times New Roman"/>
          <w:b/>
          <w:bCs/>
          <w:color w:val="auto"/>
          <w:sz w:val="22"/>
          <w:szCs w:val="22"/>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M2. Chemická a fyzikální manipulace </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Byl přidán termín "chirurgické zákroky" do věty, která  popisuje situaci nezbytně nutné aplikace  intravenózní infuse nebo injekce více než 50 ml během 6 hodin.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adjustRightInd w:val="0"/>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LÁTKY A  METODY ZAKÁZANÉ  PŘI SOUTĚŽI </w:t>
      </w:r>
    </w:p>
    <w:p w:rsidR="00DF46C7" w:rsidRDefault="00DF46C7" w:rsidP="00C75977">
      <w:pPr>
        <w:autoSpaceDE w:val="0"/>
        <w:autoSpaceDN w:val="0"/>
        <w:spacing w:after="0" w:line="240" w:lineRule="auto"/>
        <w:rPr>
          <w:rFonts w:ascii="Verdana" w:hAnsi="Verdana" w:cs="Verdana"/>
          <w:color w:val="000000"/>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S6. Stimulancia</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Pro upřesnění lokální/oční deriváty imidazolu, byly zmíněny jako výjimky povoleného stimulancia. </w:t>
      </w:r>
    </w:p>
    <w:p w:rsidR="00DF46C7" w:rsidRDefault="00DF46C7" w:rsidP="00C75977">
      <w:pPr>
        <w:autoSpaceDE w:val="0"/>
        <w:autoSpaceDN w:val="0"/>
        <w:adjustRightInd w:val="0"/>
        <w:spacing w:after="0" w:line="240" w:lineRule="auto"/>
        <w:jc w:val="both"/>
        <w:rPr>
          <w:rFonts w:ascii="Verdana" w:hAnsi="Verdana" w:cs="Verdana"/>
          <w:color w:val="000000"/>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Fenmetrazin, zpočátku uveden v sekci S6.a, byl přesunut do sekce S6.b protože fenbutrazát (sekce S6.b) se může metabolizovat na fenmetrazin </w:t>
      </w:r>
      <w:r>
        <w:rPr>
          <w:rFonts w:ascii="Verdana" w:hAnsi="Verdana" w:cs="Verdana"/>
          <w:color w:val="000000"/>
          <w:lang w:eastAsia="cs-CZ"/>
        </w:rPr>
        <w:t>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Seznam nyní jasně stanoví celou skupinu derivátů phenethylaminu jako zakázanou, aby  upozornil na rostoucí počet nelegálních, designovaných  stimulantů odvozených od phenethylaminu.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Trimetazidin byl převeden do nově vytvořené sub sekce S4.5.c (viz výše).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color w:val="000000"/>
          <w:lang w:eastAsia="cs-CZ"/>
        </w:rPr>
      </w:pPr>
      <w:r>
        <w:rPr>
          <w:rFonts w:ascii="Times New Roman" w:hAnsi="Times New Roman" w:cs="Times New Roman"/>
          <w:b/>
          <w:bCs/>
          <w:sz w:val="24"/>
          <w:szCs w:val="24"/>
          <w:u w:val="single"/>
          <w:lang w:eastAsia="cs-CZ"/>
        </w:rPr>
        <w:t>S9. Glukokortikoidy</w:t>
      </w:r>
      <w:r>
        <w:rPr>
          <w:rFonts w:ascii="Verdana" w:hAnsi="Verdana" w:cs="Verdana"/>
          <w:color w:val="000000"/>
          <w:lang w:eastAsia="cs-CZ"/>
        </w:rPr>
        <w:t xml:space="preserve">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Glukokortikosteroidy jsou popsány jako glukokortikoidy, aby lépe vyjádřily stávající názvosloví a použití.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b/>
          <w:bCs/>
          <w:color w:val="000000"/>
          <w:lang w:eastAsia="cs-CZ"/>
        </w:rPr>
      </w:pPr>
      <w:r>
        <w:rPr>
          <w:rFonts w:ascii="Verdana" w:hAnsi="Verdana" w:cs="Verdana"/>
          <w:b/>
          <w:bCs/>
          <w:color w:val="000000"/>
          <w:lang w:eastAsia="cs-CZ"/>
        </w:rPr>
        <w:t xml:space="preserve">LÁTKY ZAKÁZANÉ V URČITÝCH SPORTECH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r>
        <w:rPr>
          <w:rFonts w:ascii="Times New Roman" w:hAnsi="Times New Roman" w:cs="Times New Roman"/>
          <w:b/>
          <w:bCs/>
          <w:sz w:val="24"/>
          <w:szCs w:val="24"/>
          <w:u w:val="single"/>
          <w:lang w:eastAsia="cs-CZ"/>
        </w:rPr>
        <w:t>P1. Alkohol</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Jako reakce na žádost Svět</w:t>
      </w:r>
      <w:bookmarkStart w:id="0" w:name="_GoBack"/>
      <w:bookmarkEnd w:id="0"/>
      <w:r>
        <w:rPr>
          <w:rFonts w:ascii="Times New Roman" w:hAnsi="Times New Roman" w:cs="Times New Roman"/>
          <w:sz w:val="24"/>
          <w:szCs w:val="24"/>
          <w:lang w:eastAsia="cs-CZ"/>
        </w:rPr>
        <w:t xml:space="preserve">ové karatistické federace (WKF), bylo karate odebráno ze seznamu sportů, v nichž je zakázán alkohol.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r>
        <w:rPr>
          <w:rFonts w:ascii="Times New Roman" w:hAnsi="Times New Roman" w:cs="Times New Roman"/>
          <w:b/>
          <w:bCs/>
          <w:sz w:val="24"/>
          <w:szCs w:val="24"/>
          <w:u w:val="single"/>
          <w:lang w:eastAsia="cs-CZ"/>
        </w:rPr>
        <w:t xml:space="preserve">P2. Beta-blokátory </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Světová federace potápění (CMAS), byla na její žádost přidána do skupiny Mezinárodních federací, které zakazují používání beta-blokátorů při soutěži v určitých jejích disciplínách.</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b/>
          <w:bCs/>
          <w:color w:val="000000"/>
          <w:lang w:eastAsia="cs-CZ"/>
        </w:rPr>
      </w:pPr>
      <w:r>
        <w:rPr>
          <w:rFonts w:ascii="Verdana" w:hAnsi="Verdana" w:cs="Verdana"/>
          <w:b/>
          <w:bCs/>
          <w:color w:val="000000"/>
          <w:lang w:eastAsia="cs-CZ"/>
        </w:rPr>
        <w:t xml:space="preserve">MONITOROVACÍ PROGRAM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Jelikož dostatečný sběr dat vedl k jasnému závěru, v roce 2015 skončí monitorování pseudoefedrinu pod 150 mikrogramů / ml.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Telmisartan, atypický antagonista receptoru angiotensinu II se zjevnými vlastnostmi částečného agonisty PPARδ receptoru (zakázaného podle S4.5.b), byl přidán do monitorovacího programu s cílem posoudit zneužívání této látky.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Meldonium, látka s možným dopadem na srdeční činnost, byla přidána do monitorovacího programu s cílem posoudit zneužívání této látky.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p>
    <w:p w:rsidR="00DF46C7" w:rsidRDefault="00DF46C7" w:rsidP="00C75977"/>
    <w:p w:rsidR="00DF46C7" w:rsidRPr="001F2C4E" w:rsidRDefault="00DF46C7" w:rsidP="001F2C4E">
      <w:pPr>
        <w:shd w:val="clear" w:color="auto" w:fill="F9EDBE"/>
        <w:spacing w:after="90" w:line="240" w:lineRule="auto"/>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Váš příspěvek poslouží ke zlepšení kvality překladu a může být anonymně zobrazen dalším uživatelům.</w:t>
      </w:r>
    </w:p>
    <w:p w:rsidR="00DF46C7" w:rsidRPr="001F2C4E" w:rsidRDefault="00DF46C7" w:rsidP="001F2C4E">
      <w:pPr>
        <w:shd w:val="clear" w:color="auto" w:fill="FFFFFF"/>
        <w:spacing w:after="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Přispět</w:t>
      </w:r>
    </w:p>
    <w:p w:rsidR="00DF46C7" w:rsidRPr="001F2C4E" w:rsidRDefault="00DF46C7" w:rsidP="001F2C4E">
      <w:pPr>
        <w:shd w:val="clear" w:color="auto" w:fill="FFFFFF"/>
        <w:spacing w:after="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Zavřít</w:t>
      </w:r>
    </w:p>
    <w:p w:rsidR="00DF46C7" w:rsidRPr="001F2C4E" w:rsidRDefault="00DF46C7" w:rsidP="001F2C4E">
      <w:pPr>
        <w:shd w:val="clear" w:color="auto" w:fill="F9EDBE"/>
        <w:spacing w:after="0" w:line="435" w:lineRule="atLeast"/>
        <w:jc w:val="center"/>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Děkujeme vám za příspěvek.</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Definice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přídavné jméno</w:t>
      </w:r>
    </w:p>
    <w:p w:rsidR="00DF46C7" w:rsidRPr="001F2C4E" w:rsidRDefault="00DF46C7" w:rsidP="001F2C4E">
      <w:pPr>
        <w:shd w:val="clear" w:color="auto" w:fill="FFFFFF"/>
        <w:spacing w:after="0" w:line="240" w:lineRule="auto"/>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relating to, constituting, or habitually practicing mimesis.</w:t>
      </w:r>
    </w:p>
    <w:p w:rsidR="00DF46C7" w:rsidRPr="001F2C4E" w:rsidRDefault="00DF46C7" w:rsidP="001F2C4E">
      <w:pPr>
        <w:shd w:val="clear" w:color="auto" w:fill="FFFFFF"/>
        <w:spacing w:after="18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"mimetic patterns in butterflies"</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definice (1)</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Synonyma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podstatné jméno</w:t>
      </w:r>
    </w:p>
    <w:p w:rsidR="00DF46C7" w:rsidRPr="001F2C4E" w:rsidRDefault="00DF46C7" w:rsidP="001F2C4E">
      <w:pPr>
        <w:shd w:val="clear" w:color="auto" w:fill="FFFFFF"/>
        <w:spacing w:after="180" w:line="240" w:lineRule="auto"/>
        <w:ind w:left="96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 mimer, dumb show</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 charade, dumb show</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mimer, mummer, pantomimist</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dumb show, pantomime</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sloveso</w:t>
      </w:r>
    </w:p>
    <w:p w:rsidR="00DF46C7" w:rsidRPr="001F2C4E" w:rsidRDefault="00DF46C7" w:rsidP="001F2C4E">
      <w:pPr>
        <w:shd w:val="clear" w:color="auto" w:fill="FFFFFF"/>
        <w:spacing w:after="180" w:line="240" w:lineRule="auto"/>
        <w:ind w:left="96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act out, pantomime, mimic</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act out, pantomime, gesture, simulate, represent</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mimic</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synonyma (9)</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Příklady pro výraz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příklady (9)</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Viz také</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mime</w:t>
      </w:r>
    </w:p>
    <w:p w:rsidR="00DF46C7" w:rsidRPr="001F2C4E" w:rsidRDefault="00DF46C7" w:rsidP="001F2C4E">
      <w:pPr>
        <w:shd w:val="clear" w:color="auto" w:fill="FFFFFF"/>
        <w:spacing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Překlad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sectPr w:rsidR="00DF46C7" w:rsidRPr="001F2C4E" w:rsidSect="00B718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675DA"/>
    <w:multiLevelType w:val="multilevel"/>
    <w:tmpl w:val="1F56761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BD24A3"/>
    <w:multiLevelType w:val="multilevel"/>
    <w:tmpl w:val="96FCBB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C4E"/>
    <w:rsid w:val="0000403F"/>
    <w:rsid w:val="0002074D"/>
    <w:rsid w:val="00076AB2"/>
    <w:rsid w:val="00190F3F"/>
    <w:rsid w:val="001F2C4E"/>
    <w:rsid w:val="00233D3A"/>
    <w:rsid w:val="002861D4"/>
    <w:rsid w:val="00353552"/>
    <w:rsid w:val="00392696"/>
    <w:rsid w:val="003B51B2"/>
    <w:rsid w:val="003E78EA"/>
    <w:rsid w:val="00462D8F"/>
    <w:rsid w:val="0048517C"/>
    <w:rsid w:val="0052025A"/>
    <w:rsid w:val="00537E26"/>
    <w:rsid w:val="00561873"/>
    <w:rsid w:val="00576D83"/>
    <w:rsid w:val="005A1B5D"/>
    <w:rsid w:val="006F4105"/>
    <w:rsid w:val="00797276"/>
    <w:rsid w:val="00AC1303"/>
    <w:rsid w:val="00AE59F0"/>
    <w:rsid w:val="00B205E4"/>
    <w:rsid w:val="00B7185E"/>
    <w:rsid w:val="00C65274"/>
    <w:rsid w:val="00C75977"/>
    <w:rsid w:val="00D50EFD"/>
    <w:rsid w:val="00DF46C7"/>
    <w:rsid w:val="00E11983"/>
    <w:rsid w:val="00E559FF"/>
    <w:rsid w:val="00F10710"/>
    <w:rsid w:val="00F74BB7"/>
    <w:rsid w:val="00F837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5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rsid w:val="001F2C4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1F2C4E"/>
    <w:rPr>
      <w:rFonts w:ascii="Arial" w:hAnsi="Arial" w:cs="Arial"/>
      <w:vanish/>
      <w:sz w:val="16"/>
      <w:szCs w:val="16"/>
      <w:lang w:eastAsia="cs-CZ"/>
    </w:rPr>
  </w:style>
  <w:style w:type="character" w:customStyle="1" w:styleId="hps">
    <w:name w:val="hps"/>
    <w:basedOn w:val="DefaultParagraphFont"/>
    <w:uiPriority w:val="99"/>
    <w:rsid w:val="001F2C4E"/>
  </w:style>
  <w:style w:type="character" w:customStyle="1" w:styleId="atn">
    <w:name w:val="atn"/>
    <w:basedOn w:val="DefaultParagraphFont"/>
    <w:uiPriority w:val="99"/>
    <w:rsid w:val="001F2C4E"/>
  </w:style>
  <w:style w:type="character" w:customStyle="1" w:styleId="gt-card-ttl-txt1">
    <w:name w:val="gt-card-ttl-txt1"/>
    <w:basedOn w:val="DefaultParagraphFont"/>
    <w:uiPriority w:val="99"/>
    <w:rsid w:val="001F2C4E"/>
    <w:rPr>
      <w:color w:val="222222"/>
    </w:rPr>
  </w:style>
  <w:style w:type="character" w:customStyle="1" w:styleId="cd-expand-label2">
    <w:name w:val="cd-expand-label2"/>
    <w:basedOn w:val="DefaultParagraphFont"/>
    <w:uiPriority w:val="99"/>
    <w:rsid w:val="001F2C4E"/>
  </w:style>
  <w:style w:type="character" w:customStyle="1" w:styleId="gt-syn-span1">
    <w:name w:val="gt-syn-span1"/>
    <w:basedOn w:val="DefaultParagraphFont"/>
    <w:uiPriority w:val="99"/>
    <w:rsid w:val="001F2C4E"/>
    <w:rPr>
      <w:color w:val="222222"/>
    </w:rPr>
  </w:style>
  <w:style w:type="character" w:customStyle="1" w:styleId="gt-cd-cl1">
    <w:name w:val="gt-cd-cl1"/>
    <w:basedOn w:val="DefaultParagraphFont"/>
    <w:uiPriority w:val="99"/>
    <w:rsid w:val="001F2C4E"/>
  </w:style>
  <w:style w:type="character" w:customStyle="1" w:styleId="gt-cd-pos1">
    <w:name w:val="gt-cd-pos1"/>
    <w:basedOn w:val="DefaultParagraphFont"/>
    <w:uiPriority w:val="99"/>
    <w:rsid w:val="001F2C4E"/>
    <w:rPr>
      <w:i/>
      <w:iCs/>
      <w:color w:val="777777"/>
    </w:rPr>
  </w:style>
  <w:style w:type="character" w:customStyle="1" w:styleId="gt-baf-back1">
    <w:name w:val="gt-baf-back1"/>
    <w:basedOn w:val="DefaultParagraphFont"/>
    <w:uiPriority w:val="99"/>
    <w:rsid w:val="001F2C4E"/>
  </w:style>
  <w:style w:type="character" w:customStyle="1" w:styleId="gt-ft-text1">
    <w:name w:val="gt-ft-text1"/>
    <w:basedOn w:val="DefaultParagraphFont"/>
    <w:uiPriority w:val="99"/>
    <w:rsid w:val="001F2C4E"/>
  </w:style>
  <w:style w:type="paragraph" w:styleId="z-BottomofForm">
    <w:name w:val="HTML Bottom of Form"/>
    <w:basedOn w:val="Normal"/>
    <w:next w:val="Normal"/>
    <w:link w:val="z-BottomofFormChar"/>
    <w:hidden/>
    <w:uiPriority w:val="99"/>
    <w:semiHidden/>
    <w:rsid w:val="001F2C4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1F2C4E"/>
    <w:rPr>
      <w:rFonts w:ascii="Arial" w:hAnsi="Arial" w:cs="Arial"/>
      <w:vanish/>
      <w:sz w:val="16"/>
      <w:szCs w:val="16"/>
      <w:lang w:eastAsia="cs-CZ"/>
    </w:rPr>
  </w:style>
  <w:style w:type="paragraph" w:customStyle="1" w:styleId="Default">
    <w:name w:val="Default"/>
    <w:uiPriority w:val="99"/>
    <w:rsid w:val="00C75977"/>
    <w:pPr>
      <w:autoSpaceDE w:val="0"/>
      <w:autoSpaceDN w:val="0"/>
      <w:adjustRightInd w:val="0"/>
    </w:pPr>
    <w:rPr>
      <w:rFonts w:ascii="Verdana" w:hAnsi="Verdana" w:cs="Verdana"/>
      <w:color w:val="000000"/>
      <w:sz w:val="24"/>
      <w:szCs w:val="24"/>
      <w:lang w:eastAsia="en-US"/>
    </w:rPr>
  </w:style>
  <w:style w:type="paragraph" w:styleId="BalloonText">
    <w:name w:val="Balloon Text"/>
    <w:basedOn w:val="Normal"/>
    <w:link w:val="BalloonTextChar"/>
    <w:uiPriority w:val="99"/>
    <w:semiHidden/>
    <w:rsid w:val="00190F3F"/>
    <w:rPr>
      <w:rFonts w:ascii="Tahoma" w:hAnsi="Tahoma" w:cs="Tahoma"/>
      <w:sz w:val="16"/>
      <w:szCs w:val="16"/>
    </w:rPr>
  </w:style>
  <w:style w:type="character" w:customStyle="1" w:styleId="BalloonTextChar">
    <w:name w:val="Balloon Text Char"/>
    <w:basedOn w:val="DefaultParagraphFont"/>
    <w:link w:val="BalloonText"/>
    <w:uiPriority w:val="99"/>
    <w:semiHidden/>
    <w:rsid w:val="006B63D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2734094">
      <w:marLeft w:val="0"/>
      <w:marRight w:val="0"/>
      <w:marTop w:val="0"/>
      <w:marBottom w:val="0"/>
      <w:divBdr>
        <w:top w:val="none" w:sz="0" w:space="0" w:color="auto"/>
        <w:left w:val="none" w:sz="0" w:space="0" w:color="auto"/>
        <w:bottom w:val="none" w:sz="0" w:space="0" w:color="auto"/>
        <w:right w:val="none" w:sz="0" w:space="0" w:color="auto"/>
      </w:divBdr>
      <w:divsChild>
        <w:div w:id="12734035">
          <w:marLeft w:val="0"/>
          <w:marRight w:val="0"/>
          <w:marTop w:val="0"/>
          <w:marBottom w:val="0"/>
          <w:divBdr>
            <w:top w:val="none" w:sz="0" w:space="0" w:color="auto"/>
            <w:left w:val="none" w:sz="0" w:space="0" w:color="auto"/>
            <w:bottom w:val="none" w:sz="0" w:space="0" w:color="auto"/>
            <w:right w:val="none" w:sz="0" w:space="0" w:color="auto"/>
          </w:divBdr>
          <w:divsChild>
            <w:div w:id="12734031">
              <w:marLeft w:val="0"/>
              <w:marRight w:val="0"/>
              <w:marTop w:val="0"/>
              <w:marBottom w:val="0"/>
              <w:divBdr>
                <w:top w:val="none" w:sz="0" w:space="0" w:color="auto"/>
                <w:left w:val="none" w:sz="0" w:space="0" w:color="auto"/>
                <w:bottom w:val="none" w:sz="0" w:space="0" w:color="auto"/>
                <w:right w:val="none" w:sz="0" w:space="0" w:color="auto"/>
              </w:divBdr>
              <w:divsChild>
                <w:div w:id="12734112">
                  <w:marLeft w:val="0"/>
                  <w:marRight w:val="0"/>
                  <w:marTop w:val="0"/>
                  <w:marBottom w:val="0"/>
                  <w:divBdr>
                    <w:top w:val="none" w:sz="0" w:space="0" w:color="auto"/>
                    <w:left w:val="none" w:sz="0" w:space="0" w:color="auto"/>
                    <w:bottom w:val="none" w:sz="0" w:space="0" w:color="auto"/>
                    <w:right w:val="none" w:sz="0" w:space="0" w:color="auto"/>
                  </w:divBdr>
                  <w:divsChild>
                    <w:div w:id="12734050">
                      <w:marLeft w:val="0"/>
                      <w:marRight w:val="0"/>
                      <w:marTop w:val="0"/>
                      <w:marBottom w:val="0"/>
                      <w:divBdr>
                        <w:top w:val="none" w:sz="0" w:space="0" w:color="auto"/>
                        <w:left w:val="none" w:sz="0" w:space="0" w:color="auto"/>
                        <w:bottom w:val="none" w:sz="0" w:space="0" w:color="auto"/>
                        <w:right w:val="none" w:sz="0" w:space="0" w:color="auto"/>
                      </w:divBdr>
                      <w:divsChild>
                        <w:div w:id="12734030">
                          <w:marLeft w:val="0"/>
                          <w:marRight w:val="0"/>
                          <w:marTop w:val="0"/>
                          <w:marBottom w:val="0"/>
                          <w:divBdr>
                            <w:top w:val="none" w:sz="0" w:space="0" w:color="auto"/>
                            <w:left w:val="none" w:sz="0" w:space="0" w:color="auto"/>
                            <w:bottom w:val="none" w:sz="0" w:space="0" w:color="auto"/>
                            <w:right w:val="none" w:sz="0" w:space="0" w:color="auto"/>
                          </w:divBdr>
                          <w:divsChild>
                            <w:div w:id="12734051">
                              <w:marLeft w:val="0"/>
                              <w:marRight w:val="0"/>
                              <w:marTop w:val="0"/>
                              <w:marBottom w:val="0"/>
                              <w:divBdr>
                                <w:top w:val="none" w:sz="0" w:space="0" w:color="auto"/>
                                <w:left w:val="none" w:sz="0" w:space="0" w:color="auto"/>
                                <w:bottom w:val="none" w:sz="0" w:space="0" w:color="auto"/>
                                <w:right w:val="none" w:sz="0" w:space="0" w:color="auto"/>
                              </w:divBdr>
                              <w:divsChild>
                                <w:div w:id="12734074">
                                  <w:marLeft w:val="0"/>
                                  <w:marRight w:val="0"/>
                                  <w:marTop w:val="0"/>
                                  <w:marBottom w:val="0"/>
                                  <w:divBdr>
                                    <w:top w:val="none" w:sz="0" w:space="0" w:color="auto"/>
                                    <w:left w:val="none" w:sz="0" w:space="0" w:color="auto"/>
                                    <w:bottom w:val="none" w:sz="0" w:space="0" w:color="auto"/>
                                    <w:right w:val="none" w:sz="0" w:space="0" w:color="auto"/>
                                  </w:divBdr>
                                  <w:divsChild>
                                    <w:div w:id="12734056">
                                      <w:marLeft w:val="60"/>
                                      <w:marRight w:val="0"/>
                                      <w:marTop w:val="0"/>
                                      <w:marBottom w:val="0"/>
                                      <w:divBdr>
                                        <w:top w:val="none" w:sz="0" w:space="0" w:color="auto"/>
                                        <w:left w:val="none" w:sz="0" w:space="0" w:color="auto"/>
                                        <w:bottom w:val="none" w:sz="0" w:space="0" w:color="auto"/>
                                        <w:right w:val="none" w:sz="0" w:space="0" w:color="auto"/>
                                      </w:divBdr>
                                      <w:divsChild>
                                        <w:div w:id="12734104">
                                          <w:marLeft w:val="0"/>
                                          <w:marRight w:val="0"/>
                                          <w:marTop w:val="0"/>
                                          <w:marBottom w:val="0"/>
                                          <w:divBdr>
                                            <w:top w:val="none" w:sz="0" w:space="0" w:color="auto"/>
                                            <w:left w:val="none" w:sz="0" w:space="0" w:color="auto"/>
                                            <w:bottom w:val="none" w:sz="0" w:space="0" w:color="auto"/>
                                            <w:right w:val="none" w:sz="0" w:space="0" w:color="auto"/>
                                          </w:divBdr>
                                          <w:divsChild>
                                            <w:div w:id="12734038">
                                              <w:marLeft w:val="0"/>
                                              <w:marRight w:val="0"/>
                                              <w:marTop w:val="0"/>
                                              <w:marBottom w:val="120"/>
                                              <w:divBdr>
                                                <w:top w:val="single" w:sz="6" w:space="0" w:color="F5F5F5"/>
                                                <w:left w:val="single" w:sz="6" w:space="0" w:color="F5F5F5"/>
                                                <w:bottom w:val="single" w:sz="6" w:space="0" w:color="F5F5F5"/>
                                                <w:right w:val="single" w:sz="6" w:space="0" w:color="F5F5F5"/>
                                              </w:divBdr>
                                              <w:divsChild>
                                                <w:div w:id="12734034">
                                                  <w:marLeft w:val="0"/>
                                                  <w:marRight w:val="0"/>
                                                  <w:marTop w:val="0"/>
                                                  <w:marBottom w:val="0"/>
                                                  <w:divBdr>
                                                    <w:top w:val="none" w:sz="0" w:space="0" w:color="auto"/>
                                                    <w:left w:val="none" w:sz="0" w:space="0" w:color="auto"/>
                                                    <w:bottom w:val="none" w:sz="0" w:space="0" w:color="auto"/>
                                                    <w:right w:val="none" w:sz="0" w:space="0" w:color="auto"/>
                                                  </w:divBdr>
                                                  <w:divsChild>
                                                    <w:div w:id="12734106">
                                                      <w:marLeft w:val="0"/>
                                                      <w:marRight w:val="0"/>
                                                      <w:marTop w:val="0"/>
                                                      <w:marBottom w:val="0"/>
                                                      <w:divBdr>
                                                        <w:top w:val="none" w:sz="0" w:space="0" w:color="auto"/>
                                                        <w:left w:val="none" w:sz="0" w:space="0" w:color="auto"/>
                                                        <w:bottom w:val="none" w:sz="0" w:space="0" w:color="auto"/>
                                                        <w:right w:val="none" w:sz="0" w:space="0" w:color="auto"/>
                                                      </w:divBdr>
                                                    </w:div>
                                                  </w:divsChild>
                                                </w:div>
                                                <w:div w:id="12734052">
                                                  <w:marLeft w:val="0"/>
                                                  <w:marRight w:val="0"/>
                                                  <w:marTop w:val="0"/>
                                                  <w:marBottom w:val="0"/>
                                                  <w:divBdr>
                                                    <w:top w:val="none" w:sz="0" w:space="0" w:color="auto"/>
                                                    <w:left w:val="none" w:sz="0" w:space="0" w:color="auto"/>
                                                    <w:bottom w:val="none" w:sz="0" w:space="0" w:color="auto"/>
                                                    <w:right w:val="none" w:sz="0" w:space="0" w:color="auto"/>
                                                  </w:divBdr>
                                                  <w:divsChild>
                                                    <w:div w:id="12734081">
                                                      <w:marLeft w:val="0"/>
                                                      <w:marRight w:val="0"/>
                                                      <w:marTop w:val="0"/>
                                                      <w:marBottom w:val="0"/>
                                                      <w:divBdr>
                                                        <w:top w:val="none" w:sz="0" w:space="0" w:color="auto"/>
                                                        <w:left w:val="none" w:sz="0" w:space="0" w:color="auto"/>
                                                        <w:bottom w:val="none" w:sz="0" w:space="0" w:color="auto"/>
                                                        <w:right w:val="none" w:sz="0" w:space="0" w:color="auto"/>
                                                      </w:divBdr>
                                                      <w:divsChild>
                                                        <w:div w:id="12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108">
                                                  <w:marLeft w:val="0"/>
                                                  <w:marRight w:val="0"/>
                                                  <w:marTop w:val="0"/>
                                                  <w:marBottom w:val="0"/>
                                                  <w:divBdr>
                                                    <w:top w:val="none" w:sz="0" w:space="0" w:color="auto"/>
                                                    <w:left w:val="none" w:sz="0" w:space="0" w:color="auto"/>
                                                    <w:bottom w:val="none" w:sz="0" w:space="0" w:color="auto"/>
                                                    <w:right w:val="none" w:sz="0" w:space="0" w:color="auto"/>
                                                  </w:divBdr>
                                                  <w:divsChild>
                                                    <w:div w:id="127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061">
                                              <w:marLeft w:val="0"/>
                                              <w:marRight w:val="0"/>
                                              <w:marTop w:val="0"/>
                                              <w:marBottom w:val="0"/>
                                              <w:divBdr>
                                                <w:top w:val="none" w:sz="0" w:space="0" w:color="auto"/>
                                                <w:left w:val="none" w:sz="0" w:space="0" w:color="auto"/>
                                                <w:bottom w:val="none" w:sz="0" w:space="0" w:color="auto"/>
                                                <w:right w:val="none" w:sz="0" w:space="0" w:color="auto"/>
                                              </w:divBdr>
                                              <w:divsChild>
                                                <w:div w:id="12734047">
                                                  <w:marLeft w:val="0"/>
                                                  <w:marRight w:val="0"/>
                                                  <w:marTop w:val="0"/>
                                                  <w:marBottom w:val="0"/>
                                                  <w:divBdr>
                                                    <w:top w:val="none" w:sz="0" w:space="0" w:color="auto"/>
                                                    <w:left w:val="none" w:sz="0" w:space="0" w:color="auto"/>
                                                    <w:bottom w:val="none" w:sz="0" w:space="0" w:color="auto"/>
                                                    <w:right w:val="none" w:sz="0" w:space="0" w:color="auto"/>
                                                  </w:divBdr>
                                                  <w:divsChild>
                                                    <w:div w:id="12734045">
                                                      <w:marLeft w:val="0"/>
                                                      <w:marRight w:val="0"/>
                                                      <w:marTop w:val="0"/>
                                                      <w:marBottom w:val="0"/>
                                                      <w:divBdr>
                                                        <w:top w:val="none" w:sz="0" w:space="0" w:color="auto"/>
                                                        <w:left w:val="none" w:sz="0" w:space="0" w:color="auto"/>
                                                        <w:bottom w:val="none" w:sz="0" w:space="0" w:color="auto"/>
                                                        <w:right w:val="none" w:sz="0" w:space="0" w:color="auto"/>
                                                      </w:divBdr>
                                                      <w:divsChild>
                                                        <w:div w:id="12734037">
                                                          <w:marLeft w:val="0"/>
                                                          <w:marRight w:val="0"/>
                                                          <w:marTop w:val="0"/>
                                                          <w:marBottom w:val="0"/>
                                                          <w:divBdr>
                                                            <w:top w:val="none" w:sz="0" w:space="0" w:color="auto"/>
                                                            <w:left w:val="none" w:sz="0" w:space="0" w:color="auto"/>
                                                            <w:bottom w:val="none" w:sz="0" w:space="0" w:color="auto"/>
                                                            <w:right w:val="none" w:sz="0" w:space="0" w:color="auto"/>
                                                          </w:divBdr>
                                                        </w:div>
                                                        <w:div w:id="12734093">
                                                          <w:marLeft w:val="0"/>
                                                          <w:marRight w:val="0"/>
                                                          <w:marTop w:val="0"/>
                                                          <w:marBottom w:val="0"/>
                                                          <w:divBdr>
                                                            <w:top w:val="none" w:sz="0" w:space="0" w:color="auto"/>
                                                            <w:left w:val="none" w:sz="0" w:space="0" w:color="auto"/>
                                                            <w:bottom w:val="none" w:sz="0" w:space="0" w:color="auto"/>
                                                            <w:right w:val="none" w:sz="0" w:space="0" w:color="auto"/>
                                                          </w:divBdr>
                                                        </w:div>
                                                      </w:divsChild>
                                                    </w:div>
                                                    <w:div w:id="12734091">
                                                      <w:marLeft w:val="0"/>
                                                      <w:marRight w:val="0"/>
                                                      <w:marTop w:val="90"/>
                                                      <w:marBottom w:val="90"/>
                                                      <w:divBdr>
                                                        <w:top w:val="none" w:sz="0" w:space="4" w:color="F0C36D"/>
                                                        <w:left w:val="none" w:sz="0" w:space="4" w:color="F0C36D"/>
                                                        <w:bottom w:val="none" w:sz="0" w:space="4" w:color="F0C36D"/>
                                                        <w:right w:val="none" w:sz="0" w:space="4" w:color="F0C36D"/>
                                                      </w:divBdr>
                                                      <w:divsChild>
                                                        <w:div w:id="12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077">
                                  <w:marLeft w:val="0"/>
                                  <w:marRight w:val="0"/>
                                  <w:marTop w:val="180"/>
                                  <w:marBottom w:val="0"/>
                                  <w:divBdr>
                                    <w:top w:val="none" w:sz="0" w:space="0" w:color="auto"/>
                                    <w:left w:val="none" w:sz="0" w:space="0" w:color="auto"/>
                                    <w:bottom w:val="none" w:sz="0" w:space="0" w:color="auto"/>
                                    <w:right w:val="none" w:sz="0" w:space="0" w:color="auto"/>
                                  </w:divBdr>
                                  <w:divsChild>
                                    <w:div w:id="12734028">
                                      <w:marLeft w:val="0"/>
                                      <w:marRight w:val="0"/>
                                      <w:marTop w:val="0"/>
                                      <w:marBottom w:val="0"/>
                                      <w:divBdr>
                                        <w:top w:val="none" w:sz="0" w:space="0" w:color="auto"/>
                                        <w:left w:val="none" w:sz="0" w:space="0" w:color="auto"/>
                                        <w:bottom w:val="none" w:sz="0" w:space="0" w:color="auto"/>
                                        <w:right w:val="none" w:sz="0" w:space="0" w:color="auto"/>
                                      </w:divBdr>
                                      <w:divsChild>
                                        <w:div w:id="12734029">
                                          <w:marLeft w:val="0"/>
                                          <w:marRight w:val="0"/>
                                          <w:marTop w:val="0"/>
                                          <w:marBottom w:val="0"/>
                                          <w:divBdr>
                                            <w:top w:val="none" w:sz="0" w:space="0" w:color="auto"/>
                                            <w:left w:val="none" w:sz="0" w:space="0" w:color="auto"/>
                                            <w:bottom w:val="none" w:sz="0" w:space="0" w:color="auto"/>
                                            <w:right w:val="none" w:sz="0" w:space="0" w:color="auto"/>
                                          </w:divBdr>
                                          <w:divsChild>
                                            <w:div w:id="12734044">
                                              <w:marLeft w:val="0"/>
                                              <w:marRight w:val="0"/>
                                              <w:marTop w:val="0"/>
                                              <w:marBottom w:val="0"/>
                                              <w:divBdr>
                                                <w:top w:val="none" w:sz="0" w:space="0" w:color="auto"/>
                                                <w:left w:val="none" w:sz="0" w:space="0" w:color="auto"/>
                                                <w:bottom w:val="none" w:sz="0" w:space="0" w:color="auto"/>
                                                <w:right w:val="none" w:sz="0" w:space="0" w:color="auto"/>
                                              </w:divBdr>
                                              <w:divsChild>
                                                <w:div w:id="12734088">
                                                  <w:marLeft w:val="0"/>
                                                  <w:marRight w:val="0"/>
                                                  <w:marTop w:val="0"/>
                                                  <w:marBottom w:val="240"/>
                                                  <w:divBdr>
                                                    <w:top w:val="none" w:sz="0" w:space="0" w:color="auto"/>
                                                    <w:left w:val="none" w:sz="0" w:space="0" w:color="auto"/>
                                                    <w:bottom w:val="none" w:sz="0" w:space="0" w:color="auto"/>
                                                    <w:right w:val="none" w:sz="0" w:space="0" w:color="auto"/>
                                                  </w:divBdr>
                                                  <w:divsChild>
                                                    <w:div w:id="12734036">
                                                      <w:marLeft w:val="0"/>
                                                      <w:marRight w:val="0"/>
                                                      <w:marTop w:val="0"/>
                                                      <w:marBottom w:val="0"/>
                                                      <w:divBdr>
                                                        <w:top w:val="none" w:sz="0" w:space="0" w:color="auto"/>
                                                        <w:left w:val="none" w:sz="0" w:space="0" w:color="auto"/>
                                                        <w:bottom w:val="none" w:sz="0" w:space="0" w:color="auto"/>
                                                        <w:right w:val="none" w:sz="0" w:space="0" w:color="auto"/>
                                                      </w:divBdr>
                                                      <w:divsChild>
                                                        <w:div w:id="12734105">
                                                          <w:marLeft w:val="0"/>
                                                          <w:marRight w:val="0"/>
                                                          <w:marTop w:val="0"/>
                                                          <w:marBottom w:val="0"/>
                                                          <w:divBdr>
                                                            <w:top w:val="none" w:sz="0" w:space="0" w:color="auto"/>
                                                            <w:left w:val="none" w:sz="0" w:space="0" w:color="auto"/>
                                                            <w:bottom w:val="none" w:sz="0" w:space="0" w:color="auto"/>
                                                            <w:right w:val="none" w:sz="0" w:space="0" w:color="auto"/>
                                                          </w:divBdr>
                                                        </w:div>
                                                      </w:divsChild>
                                                    </w:div>
                                                    <w:div w:id="12734102">
                                                      <w:marLeft w:val="0"/>
                                                      <w:marRight w:val="0"/>
                                                      <w:marTop w:val="0"/>
                                                      <w:marBottom w:val="0"/>
                                                      <w:divBdr>
                                                        <w:top w:val="none" w:sz="0" w:space="0" w:color="auto"/>
                                                        <w:left w:val="none" w:sz="0" w:space="0" w:color="auto"/>
                                                        <w:bottom w:val="none" w:sz="0" w:space="0" w:color="auto"/>
                                                        <w:right w:val="none" w:sz="0" w:space="0" w:color="auto"/>
                                                      </w:divBdr>
                                                      <w:divsChild>
                                                        <w:div w:id="12734049">
                                                          <w:marLeft w:val="0"/>
                                                          <w:marRight w:val="0"/>
                                                          <w:marTop w:val="0"/>
                                                          <w:marBottom w:val="0"/>
                                                          <w:divBdr>
                                                            <w:top w:val="none" w:sz="0" w:space="0" w:color="auto"/>
                                                            <w:left w:val="none" w:sz="0" w:space="0" w:color="auto"/>
                                                            <w:bottom w:val="none" w:sz="0" w:space="0" w:color="auto"/>
                                                            <w:right w:val="none" w:sz="0" w:space="0" w:color="auto"/>
                                                          </w:divBdr>
                                                        </w:div>
                                                        <w:div w:id="12734058">
                                                          <w:marLeft w:val="0"/>
                                                          <w:marRight w:val="0"/>
                                                          <w:marTop w:val="0"/>
                                                          <w:marBottom w:val="0"/>
                                                          <w:divBdr>
                                                            <w:top w:val="none" w:sz="0" w:space="0" w:color="auto"/>
                                                            <w:left w:val="none" w:sz="0" w:space="0" w:color="auto"/>
                                                            <w:bottom w:val="none" w:sz="0" w:space="0" w:color="auto"/>
                                                            <w:right w:val="none" w:sz="0" w:space="0" w:color="auto"/>
                                                          </w:divBdr>
                                                        </w:div>
                                                        <w:div w:id="12734064">
                                                          <w:marLeft w:val="0"/>
                                                          <w:marRight w:val="0"/>
                                                          <w:marTop w:val="0"/>
                                                          <w:marBottom w:val="0"/>
                                                          <w:divBdr>
                                                            <w:top w:val="none" w:sz="0" w:space="0" w:color="auto"/>
                                                            <w:left w:val="none" w:sz="0" w:space="0" w:color="auto"/>
                                                            <w:bottom w:val="none" w:sz="0" w:space="0" w:color="auto"/>
                                                            <w:right w:val="none" w:sz="0" w:space="0" w:color="auto"/>
                                                          </w:divBdr>
                                                        </w:div>
                                                        <w:div w:id="12734069">
                                                          <w:marLeft w:val="0"/>
                                                          <w:marRight w:val="0"/>
                                                          <w:marTop w:val="0"/>
                                                          <w:marBottom w:val="0"/>
                                                          <w:divBdr>
                                                            <w:top w:val="none" w:sz="0" w:space="0" w:color="auto"/>
                                                            <w:left w:val="none" w:sz="0" w:space="0" w:color="auto"/>
                                                            <w:bottom w:val="none" w:sz="0" w:space="0" w:color="auto"/>
                                                            <w:right w:val="none" w:sz="0" w:space="0" w:color="auto"/>
                                                          </w:divBdr>
                                                        </w:div>
                                                        <w:div w:id="12734073">
                                                          <w:marLeft w:val="0"/>
                                                          <w:marRight w:val="0"/>
                                                          <w:marTop w:val="0"/>
                                                          <w:marBottom w:val="0"/>
                                                          <w:divBdr>
                                                            <w:top w:val="none" w:sz="0" w:space="0" w:color="auto"/>
                                                            <w:left w:val="none" w:sz="0" w:space="0" w:color="auto"/>
                                                            <w:bottom w:val="none" w:sz="0" w:space="0" w:color="auto"/>
                                                            <w:right w:val="none" w:sz="0" w:space="0" w:color="auto"/>
                                                          </w:divBdr>
                                                        </w:div>
                                                        <w:div w:id="12734079">
                                                          <w:marLeft w:val="0"/>
                                                          <w:marRight w:val="0"/>
                                                          <w:marTop w:val="0"/>
                                                          <w:marBottom w:val="0"/>
                                                          <w:divBdr>
                                                            <w:top w:val="none" w:sz="0" w:space="0" w:color="auto"/>
                                                            <w:left w:val="none" w:sz="0" w:space="0" w:color="auto"/>
                                                            <w:bottom w:val="none" w:sz="0" w:space="0" w:color="auto"/>
                                                            <w:right w:val="none" w:sz="0" w:space="0" w:color="auto"/>
                                                          </w:divBdr>
                                                        </w:div>
                                                        <w:div w:id="12734080">
                                                          <w:marLeft w:val="0"/>
                                                          <w:marRight w:val="0"/>
                                                          <w:marTop w:val="0"/>
                                                          <w:marBottom w:val="0"/>
                                                          <w:divBdr>
                                                            <w:top w:val="none" w:sz="0" w:space="0" w:color="auto"/>
                                                            <w:left w:val="none" w:sz="0" w:space="0" w:color="auto"/>
                                                            <w:bottom w:val="none" w:sz="0" w:space="0" w:color="auto"/>
                                                            <w:right w:val="none" w:sz="0" w:space="0" w:color="auto"/>
                                                          </w:divBdr>
                                                        </w:div>
                                                        <w:div w:id="12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089">
                                          <w:marLeft w:val="0"/>
                                          <w:marRight w:val="0"/>
                                          <w:marTop w:val="0"/>
                                          <w:marBottom w:val="0"/>
                                          <w:divBdr>
                                            <w:top w:val="none" w:sz="0" w:space="0" w:color="auto"/>
                                            <w:left w:val="none" w:sz="0" w:space="0" w:color="auto"/>
                                            <w:bottom w:val="none" w:sz="0" w:space="0" w:color="auto"/>
                                            <w:right w:val="none" w:sz="0" w:space="0" w:color="auto"/>
                                          </w:divBdr>
                                          <w:divsChild>
                                            <w:div w:id="12734100">
                                              <w:marLeft w:val="0"/>
                                              <w:marRight w:val="0"/>
                                              <w:marTop w:val="0"/>
                                              <w:marBottom w:val="0"/>
                                              <w:divBdr>
                                                <w:top w:val="none" w:sz="0" w:space="0" w:color="auto"/>
                                                <w:left w:val="none" w:sz="0" w:space="0" w:color="auto"/>
                                                <w:bottom w:val="none" w:sz="0" w:space="0" w:color="auto"/>
                                                <w:right w:val="none" w:sz="0" w:space="0" w:color="auto"/>
                                              </w:divBdr>
                                              <w:divsChild>
                                                <w:div w:id="12734053">
                                                  <w:marLeft w:val="0"/>
                                                  <w:marRight w:val="0"/>
                                                  <w:marTop w:val="0"/>
                                                  <w:marBottom w:val="240"/>
                                                  <w:divBdr>
                                                    <w:top w:val="none" w:sz="0" w:space="0" w:color="auto"/>
                                                    <w:left w:val="none" w:sz="0" w:space="0" w:color="auto"/>
                                                    <w:bottom w:val="none" w:sz="0" w:space="0" w:color="auto"/>
                                                    <w:right w:val="none" w:sz="0" w:space="0" w:color="auto"/>
                                                  </w:divBdr>
                                                  <w:divsChild>
                                                    <w:div w:id="12734033">
                                                      <w:marLeft w:val="0"/>
                                                      <w:marRight w:val="0"/>
                                                      <w:marTop w:val="0"/>
                                                      <w:marBottom w:val="0"/>
                                                      <w:divBdr>
                                                        <w:top w:val="none" w:sz="0" w:space="0" w:color="auto"/>
                                                        <w:left w:val="none" w:sz="0" w:space="0" w:color="auto"/>
                                                        <w:bottom w:val="none" w:sz="0" w:space="0" w:color="auto"/>
                                                        <w:right w:val="none" w:sz="0" w:space="0" w:color="auto"/>
                                                      </w:divBdr>
                                                      <w:divsChild>
                                                        <w:div w:id="12734042">
                                                          <w:marLeft w:val="0"/>
                                                          <w:marRight w:val="0"/>
                                                          <w:marTop w:val="0"/>
                                                          <w:marBottom w:val="0"/>
                                                          <w:divBdr>
                                                            <w:top w:val="none" w:sz="0" w:space="0" w:color="auto"/>
                                                            <w:left w:val="none" w:sz="0" w:space="0" w:color="auto"/>
                                                            <w:bottom w:val="none" w:sz="0" w:space="0" w:color="auto"/>
                                                            <w:right w:val="none" w:sz="0" w:space="0" w:color="auto"/>
                                                          </w:divBdr>
                                                        </w:div>
                                                        <w:div w:id="12734054">
                                                          <w:marLeft w:val="0"/>
                                                          <w:marRight w:val="0"/>
                                                          <w:marTop w:val="0"/>
                                                          <w:marBottom w:val="0"/>
                                                          <w:divBdr>
                                                            <w:top w:val="none" w:sz="0" w:space="0" w:color="auto"/>
                                                            <w:left w:val="none" w:sz="0" w:space="0" w:color="auto"/>
                                                            <w:bottom w:val="none" w:sz="0" w:space="0" w:color="auto"/>
                                                            <w:right w:val="none" w:sz="0" w:space="0" w:color="auto"/>
                                                          </w:divBdr>
                                                        </w:div>
                                                        <w:div w:id="12734055">
                                                          <w:marLeft w:val="0"/>
                                                          <w:marRight w:val="-240"/>
                                                          <w:marTop w:val="0"/>
                                                          <w:marBottom w:val="0"/>
                                                          <w:divBdr>
                                                            <w:top w:val="none" w:sz="0" w:space="0" w:color="auto"/>
                                                            <w:left w:val="none" w:sz="0" w:space="0" w:color="auto"/>
                                                            <w:bottom w:val="none" w:sz="0" w:space="0" w:color="auto"/>
                                                            <w:right w:val="none" w:sz="0" w:space="0" w:color="auto"/>
                                                          </w:divBdr>
                                                          <w:divsChild>
                                                            <w:div w:id="12734076">
                                                              <w:marLeft w:val="240"/>
                                                              <w:marRight w:val="240"/>
                                                              <w:marTop w:val="0"/>
                                                              <w:marBottom w:val="0"/>
                                                              <w:divBdr>
                                                                <w:top w:val="none" w:sz="0" w:space="0" w:color="auto"/>
                                                                <w:left w:val="none" w:sz="0" w:space="0" w:color="auto"/>
                                                                <w:bottom w:val="none" w:sz="0" w:space="0" w:color="auto"/>
                                                                <w:right w:val="none" w:sz="0" w:space="0" w:color="auto"/>
                                                              </w:divBdr>
                                                            </w:div>
                                                          </w:divsChild>
                                                        </w:div>
                                                        <w:div w:id="12734062">
                                                          <w:marLeft w:val="0"/>
                                                          <w:marRight w:val="0"/>
                                                          <w:marTop w:val="0"/>
                                                          <w:marBottom w:val="0"/>
                                                          <w:divBdr>
                                                            <w:top w:val="none" w:sz="0" w:space="0" w:color="auto"/>
                                                            <w:left w:val="none" w:sz="0" w:space="0" w:color="auto"/>
                                                            <w:bottom w:val="none" w:sz="0" w:space="0" w:color="auto"/>
                                                            <w:right w:val="none" w:sz="0" w:space="0" w:color="auto"/>
                                                          </w:divBdr>
                                                        </w:div>
                                                        <w:div w:id="12734066">
                                                          <w:marLeft w:val="0"/>
                                                          <w:marRight w:val="0"/>
                                                          <w:marTop w:val="0"/>
                                                          <w:marBottom w:val="0"/>
                                                          <w:divBdr>
                                                            <w:top w:val="none" w:sz="0" w:space="0" w:color="auto"/>
                                                            <w:left w:val="none" w:sz="0" w:space="0" w:color="auto"/>
                                                            <w:bottom w:val="none" w:sz="0" w:space="0" w:color="auto"/>
                                                            <w:right w:val="none" w:sz="0" w:space="0" w:color="auto"/>
                                                          </w:divBdr>
                                                        </w:div>
                                                        <w:div w:id="12734084">
                                                          <w:marLeft w:val="0"/>
                                                          <w:marRight w:val="0"/>
                                                          <w:marTop w:val="0"/>
                                                          <w:marBottom w:val="0"/>
                                                          <w:divBdr>
                                                            <w:top w:val="none" w:sz="0" w:space="0" w:color="auto"/>
                                                            <w:left w:val="none" w:sz="0" w:space="0" w:color="auto"/>
                                                            <w:bottom w:val="none" w:sz="0" w:space="0" w:color="auto"/>
                                                            <w:right w:val="none" w:sz="0" w:space="0" w:color="auto"/>
                                                          </w:divBdr>
                                                        </w:div>
                                                        <w:div w:id="12734085">
                                                          <w:marLeft w:val="0"/>
                                                          <w:marRight w:val="0"/>
                                                          <w:marTop w:val="0"/>
                                                          <w:marBottom w:val="0"/>
                                                          <w:divBdr>
                                                            <w:top w:val="none" w:sz="0" w:space="0" w:color="auto"/>
                                                            <w:left w:val="none" w:sz="0" w:space="0" w:color="auto"/>
                                                            <w:bottom w:val="none" w:sz="0" w:space="0" w:color="auto"/>
                                                            <w:right w:val="none" w:sz="0" w:space="0" w:color="auto"/>
                                                          </w:divBdr>
                                                        </w:div>
                                                        <w:div w:id="12734096">
                                                          <w:marLeft w:val="0"/>
                                                          <w:marRight w:val="0"/>
                                                          <w:marTop w:val="0"/>
                                                          <w:marBottom w:val="0"/>
                                                          <w:divBdr>
                                                            <w:top w:val="none" w:sz="0" w:space="0" w:color="auto"/>
                                                            <w:left w:val="none" w:sz="0" w:space="0" w:color="auto"/>
                                                            <w:bottom w:val="none" w:sz="0" w:space="0" w:color="auto"/>
                                                            <w:right w:val="none" w:sz="0" w:space="0" w:color="auto"/>
                                                          </w:divBdr>
                                                        </w:div>
                                                        <w:div w:id="12734107">
                                                          <w:marLeft w:val="0"/>
                                                          <w:marRight w:val="-240"/>
                                                          <w:marTop w:val="0"/>
                                                          <w:marBottom w:val="0"/>
                                                          <w:divBdr>
                                                            <w:top w:val="none" w:sz="0" w:space="0" w:color="auto"/>
                                                            <w:left w:val="none" w:sz="0" w:space="0" w:color="auto"/>
                                                            <w:bottom w:val="none" w:sz="0" w:space="0" w:color="auto"/>
                                                            <w:right w:val="none" w:sz="0" w:space="0" w:color="auto"/>
                                                          </w:divBdr>
                                                          <w:divsChild>
                                                            <w:div w:id="12734046">
                                                              <w:marLeft w:val="240"/>
                                                              <w:marRight w:val="240"/>
                                                              <w:marTop w:val="0"/>
                                                              <w:marBottom w:val="0"/>
                                                              <w:divBdr>
                                                                <w:top w:val="none" w:sz="0" w:space="0" w:color="auto"/>
                                                                <w:left w:val="none" w:sz="0" w:space="0" w:color="auto"/>
                                                                <w:bottom w:val="none" w:sz="0" w:space="0" w:color="auto"/>
                                                                <w:right w:val="none" w:sz="0" w:space="0" w:color="auto"/>
                                                              </w:divBdr>
                                                            </w:div>
                                                          </w:divsChild>
                                                        </w:div>
                                                        <w:div w:id="12734110">
                                                          <w:marLeft w:val="0"/>
                                                          <w:marRight w:val="0"/>
                                                          <w:marTop w:val="0"/>
                                                          <w:marBottom w:val="0"/>
                                                          <w:divBdr>
                                                            <w:top w:val="none" w:sz="0" w:space="0" w:color="auto"/>
                                                            <w:left w:val="none" w:sz="0" w:space="0" w:color="auto"/>
                                                            <w:bottom w:val="none" w:sz="0" w:space="0" w:color="auto"/>
                                                            <w:right w:val="none" w:sz="0" w:space="0" w:color="auto"/>
                                                          </w:divBdr>
                                                        </w:div>
                                                      </w:divsChild>
                                                    </w:div>
                                                    <w:div w:id="12734075">
                                                      <w:marLeft w:val="0"/>
                                                      <w:marRight w:val="0"/>
                                                      <w:marTop w:val="0"/>
                                                      <w:marBottom w:val="0"/>
                                                      <w:divBdr>
                                                        <w:top w:val="none" w:sz="0" w:space="0" w:color="auto"/>
                                                        <w:left w:val="none" w:sz="0" w:space="0" w:color="auto"/>
                                                        <w:bottom w:val="none" w:sz="0" w:space="0" w:color="auto"/>
                                                        <w:right w:val="none" w:sz="0" w:space="0" w:color="auto"/>
                                                      </w:divBdr>
                                                    </w:div>
                                                    <w:div w:id="12734103">
                                                      <w:marLeft w:val="0"/>
                                                      <w:marRight w:val="0"/>
                                                      <w:marTop w:val="0"/>
                                                      <w:marBottom w:val="0"/>
                                                      <w:divBdr>
                                                        <w:top w:val="none" w:sz="0" w:space="0" w:color="auto"/>
                                                        <w:left w:val="none" w:sz="0" w:space="0" w:color="auto"/>
                                                        <w:bottom w:val="none" w:sz="0" w:space="0" w:color="auto"/>
                                                        <w:right w:val="none" w:sz="0" w:space="0" w:color="auto"/>
                                                      </w:divBdr>
                                                      <w:divsChild>
                                                        <w:div w:id="12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067">
                                                  <w:marLeft w:val="0"/>
                                                  <w:marRight w:val="0"/>
                                                  <w:marTop w:val="0"/>
                                                  <w:marBottom w:val="240"/>
                                                  <w:divBdr>
                                                    <w:top w:val="none" w:sz="0" w:space="0" w:color="auto"/>
                                                    <w:left w:val="none" w:sz="0" w:space="0" w:color="auto"/>
                                                    <w:bottom w:val="none" w:sz="0" w:space="0" w:color="auto"/>
                                                    <w:right w:val="none" w:sz="0" w:space="0" w:color="auto"/>
                                                  </w:divBdr>
                                                  <w:divsChild>
                                                    <w:div w:id="12734065">
                                                      <w:marLeft w:val="0"/>
                                                      <w:marRight w:val="0"/>
                                                      <w:marTop w:val="0"/>
                                                      <w:marBottom w:val="0"/>
                                                      <w:divBdr>
                                                        <w:top w:val="none" w:sz="0" w:space="0" w:color="auto"/>
                                                        <w:left w:val="none" w:sz="0" w:space="0" w:color="auto"/>
                                                        <w:bottom w:val="none" w:sz="0" w:space="0" w:color="auto"/>
                                                        <w:right w:val="none" w:sz="0" w:space="0" w:color="auto"/>
                                                      </w:divBdr>
                                                      <w:divsChild>
                                                        <w:div w:id="12734040">
                                                          <w:marLeft w:val="0"/>
                                                          <w:marRight w:val="0"/>
                                                          <w:marTop w:val="0"/>
                                                          <w:marBottom w:val="0"/>
                                                          <w:divBdr>
                                                            <w:top w:val="none" w:sz="0" w:space="0" w:color="auto"/>
                                                            <w:left w:val="none" w:sz="0" w:space="0" w:color="auto"/>
                                                            <w:bottom w:val="none" w:sz="0" w:space="0" w:color="auto"/>
                                                            <w:right w:val="none" w:sz="0" w:space="0" w:color="auto"/>
                                                          </w:divBdr>
                                                        </w:div>
                                                      </w:divsChild>
                                                    </w:div>
                                                    <w:div w:id="12734078">
                                                      <w:marLeft w:val="0"/>
                                                      <w:marRight w:val="0"/>
                                                      <w:marTop w:val="0"/>
                                                      <w:marBottom w:val="0"/>
                                                      <w:divBdr>
                                                        <w:top w:val="none" w:sz="0" w:space="0" w:color="auto"/>
                                                        <w:left w:val="none" w:sz="0" w:space="0" w:color="auto"/>
                                                        <w:bottom w:val="none" w:sz="0" w:space="0" w:color="auto"/>
                                                        <w:right w:val="none" w:sz="0" w:space="0" w:color="auto"/>
                                                      </w:divBdr>
                                                    </w:div>
                                                  </w:divsChild>
                                                </w:div>
                                                <w:div w:id="12734090">
                                                  <w:marLeft w:val="0"/>
                                                  <w:marRight w:val="0"/>
                                                  <w:marTop w:val="0"/>
                                                  <w:marBottom w:val="240"/>
                                                  <w:divBdr>
                                                    <w:top w:val="none" w:sz="0" w:space="0" w:color="auto"/>
                                                    <w:left w:val="none" w:sz="0" w:space="0" w:color="auto"/>
                                                    <w:bottom w:val="none" w:sz="0" w:space="0" w:color="auto"/>
                                                    <w:right w:val="none" w:sz="0" w:space="0" w:color="auto"/>
                                                  </w:divBdr>
                                                  <w:divsChild>
                                                    <w:div w:id="12734032">
                                                      <w:marLeft w:val="0"/>
                                                      <w:marRight w:val="0"/>
                                                      <w:marTop w:val="0"/>
                                                      <w:marBottom w:val="0"/>
                                                      <w:divBdr>
                                                        <w:top w:val="none" w:sz="0" w:space="0" w:color="auto"/>
                                                        <w:left w:val="none" w:sz="0" w:space="0" w:color="auto"/>
                                                        <w:bottom w:val="none" w:sz="0" w:space="0" w:color="auto"/>
                                                        <w:right w:val="none" w:sz="0" w:space="0" w:color="auto"/>
                                                      </w:divBdr>
                                                      <w:divsChild>
                                                        <w:div w:id="12734070">
                                                          <w:marLeft w:val="510"/>
                                                          <w:marRight w:val="300"/>
                                                          <w:marTop w:val="0"/>
                                                          <w:marBottom w:val="0"/>
                                                          <w:divBdr>
                                                            <w:top w:val="none" w:sz="0" w:space="0" w:color="auto"/>
                                                            <w:left w:val="none" w:sz="0" w:space="0" w:color="auto"/>
                                                            <w:bottom w:val="none" w:sz="0" w:space="0" w:color="auto"/>
                                                            <w:right w:val="none" w:sz="0" w:space="0" w:color="auto"/>
                                                          </w:divBdr>
                                                          <w:divsChild>
                                                            <w:div w:id="12734057">
                                                              <w:marLeft w:val="0"/>
                                                              <w:marRight w:val="0"/>
                                                              <w:marTop w:val="0"/>
                                                              <w:marBottom w:val="0"/>
                                                              <w:divBdr>
                                                                <w:top w:val="none" w:sz="0" w:space="0" w:color="auto"/>
                                                                <w:left w:val="none" w:sz="0" w:space="0" w:color="auto"/>
                                                                <w:bottom w:val="none" w:sz="0" w:space="0" w:color="auto"/>
                                                                <w:right w:val="none" w:sz="0" w:space="0" w:color="auto"/>
                                                              </w:divBdr>
                                                              <w:divsChild>
                                                                <w:div w:id="12734027">
                                                                  <w:marLeft w:val="0"/>
                                                                  <w:marRight w:val="0"/>
                                                                  <w:marTop w:val="0"/>
                                                                  <w:marBottom w:val="180"/>
                                                                  <w:divBdr>
                                                                    <w:top w:val="none" w:sz="0" w:space="0" w:color="auto"/>
                                                                    <w:left w:val="none" w:sz="0" w:space="0" w:color="auto"/>
                                                                    <w:bottom w:val="none" w:sz="0" w:space="0" w:color="auto"/>
                                                                    <w:right w:val="none" w:sz="0" w:space="0" w:color="auto"/>
                                                                  </w:divBdr>
                                                                  <w:divsChild>
                                                                    <w:div w:id="12734043">
                                                                      <w:marLeft w:val="0"/>
                                                                      <w:marRight w:val="0"/>
                                                                      <w:marTop w:val="0"/>
                                                                      <w:marBottom w:val="0"/>
                                                                      <w:divBdr>
                                                                        <w:top w:val="none" w:sz="0" w:space="0" w:color="auto"/>
                                                                        <w:left w:val="none" w:sz="0" w:space="0" w:color="auto"/>
                                                                        <w:bottom w:val="none" w:sz="0" w:space="0" w:color="auto"/>
                                                                        <w:right w:val="none" w:sz="0" w:space="0" w:color="auto"/>
                                                                      </w:divBdr>
                                                                    </w:div>
                                                                    <w:div w:id="12734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734086">
                                                          <w:marLeft w:val="0"/>
                                                          <w:marRight w:val="0"/>
                                                          <w:marTop w:val="0"/>
                                                          <w:marBottom w:val="0"/>
                                                          <w:divBdr>
                                                            <w:top w:val="none" w:sz="0" w:space="0" w:color="auto"/>
                                                            <w:left w:val="none" w:sz="0" w:space="0" w:color="auto"/>
                                                            <w:bottom w:val="none" w:sz="0" w:space="0" w:color="auto"/>
                                                            <w:right w:val="none" w:sz="0" w:space="0" w:color="auto"/>
                                                          </w:divBdr>
                                                        </w:div>
                                                      </w:divsChild>
                                                    </w:div>
                                                    <w:div w:id="12734060">
                                                      <w:marLeft w:val="0"/>
                                                      <w:marRight w:val="0"/>
                                                      <w:marTop w:val="0"/>
                                                      <w:marBottom w:val="0"/>
                                                      <w:divBdr>
                                                        <w:top w:val="none" w:sz="0" w:space="0" w:color="auto"/>
                                                        <w:left w:val="none" w:sz="0" w:space="0" w:color="auto"/>
                                                        <w:bottom w:val="none" w:sz="0" w:space="0" w:color="auto"/>
                                                        <w:right w:val="none" w:sz="0" w:space="0" w:color="auto"/>
                                                      </w:divBdr>
                                                      <w:divsChild>
                                                        <w:div w:id="12734039">
                                                          <w:marLeft w:val="0"/>
                                                          <w:marRight w:val="0"/>
                                                          <w:marTop w:val="0"/>
                                                          <w:marBottom w:val="0"/>
                                                          <w:divBdr>
                                                            <w:top w:val="none" w:sz="0" w:space="0" w:color="auto"/>
                                                            <w:left w:val="none" w:sz="0" w:space="0" w:color="auto"/>
                                                            <w:bottom w:val="none" w:sz="0" w:space="0" w:color="auto"/>
                                                            <w:right w:val="none" w:sz="0" w:space="0" w:color="auto"/>
                                                          </w:divBdr>
                                                        </w:div>
                                                      </w:divsChild>
                                                    </w:div>
                                                    <w:div w:id="12734063">
                                                      <w:marLeft w:val="0"/>
                                                      <w:marRight w:val="0"/>
                                                      <w:marTop w:val="0"/>
                                                      <w:marBottom w:val="0"/>
                                                      <w:divBdr>
                                                        <w:top w:val="none" w:sz="0" w:space="0" w:color="auto"/>
                                                        <w:left w:val="none" w:sz="0" w:space="0" w:color="auto"/>
                                                        <w:bottom w:val="none" w:sz="0" w:space="0" w:color="auto"/>
                                                        <w:right w:val="none" w:sz="0" w:space="0" w:color="auto"/>
                                                      </w:divBdr>
                                                    </w:div>
                                                  </w:divsChild>
                                                </w:div>
                                                <w:div w:id="12734098">
                                                  <w:marLeft w:val="0"/>
                                                  <w:marRight w:val="0"/>
                                                  <w:marTop w:val="0"/>
                                                  <w:marBottom w:val="240"/>
                                                  <w:divBdr>
                                                    <w:top w:val="none" w:sz="0" w:space="0" w:color="auto"/>
                                                    <w:left w:val="none" w:sz="0" w:space="0" w:color="auto"/>
                                                    <w:bottom w:val="none" w:sz="0" w:space="0" w:color="auto"/>
                                                    <w:right w:val="none" w:sz="0" w:space="0" w:color="auto"/>
                                                  </w:divBdr>
                                                  <w:divsChild>
                                                    <w:div w:id="12734068">
                                                      <w:marLeft w:val="0"/>
                                                      <w:marRight w:val="0"/>
                                                      <w:marTop w:val="0"/>
                                                      <w:marBottom w:val="0"/>
                                                      <w:divBdr>
                                                        <w:top w:val="none" w:sz="0" w:space="0" w:color="auto"/>
                                                        <w:left w:val="none" w:sz="0" w:space="0" w:color="auto"/>
                                                        <w:bottom w:val="none" w:sz="0" w:space="0" w:color="auto"/>
                                                        <w:right w:val="none" w:sz="0" w:space="0" w:color="auto"/>
                                                      </w:divBdr>
                                                    </w:div>
                                                    <w:div w:id="127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083">
                              <w:marLeft w:val="0"/>
                              <w:marRight w:val="0"/>
                              <w:marTop w:val="240"/>
                              <w:marBottom w:val="525"/>
                              <w:divBdr>
                                <w:top w:val="none" w:sz="0" w:space="0" w:color="auto"/>
                                <w:left w:val="none" w:sz="0" w:space="0" w:color="auto"/>
                                <w:bottom w:val="none" w:sz="0" w:space="0" w:color="auto"/>
                                <w:right w:val="none" w:sz="0" w:space="0" w:color="auto"/>
                              </w:divBdr>
                              <w:divsChild>
                                <w:div w:id="127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059">
              <w:marLeft w:val="0"/>
              <w:marRight w:val="0"/>
              <w:marTop w:val="0"/>
              <w:marBottom w:val="0"/>
              <w:divBdr>
                <w:top w:val="single" w:sz="6" w:space="31" w:color="F0C36D"/>
                <w:left w:val="single" w:sz="6" w:space="31" w:color="F0C36D"/>
                <w:bottom w:val="single" w:sz="6" w:space="31" w:color="F0C36D"/>
                <w:right w:val="single" w:sz="6" w:space="31" w:color="F0C36D"/>
              </w:divBdr>
            </w:div>
            <w:div w:id="12734072">
              <w:marLeft w:val="0"/>
              <w:marRight w:val="0"/>
              <w:marTop w:val="0"/>
              <w:marBottom w:val="0"/>
              <w:divBdr>
                <w:top w:val="single" w:sz="6" w:space="31" w:color="F0C36D"/>
                <w:left w:val="single" w:sz="6" w:space="31" w:color="F0C36D"/>
                <w:bottom w:val="single" w:sz="6" w:space="31" w:color="F0C36D"/>
                <w:right w:val="single" w:sz="6" w:space="31" w:color="F0C36D"/>
              </w:divBdr>
            </w:div>
            <w:div w:id="12734082">
              <w:marLeft w:val="0"/>
              <w:marRight w:val="0"/>
              <w:marTop w:val="0"/>
              <w:marBottom w:val="0"/>
              <w:divBdr>
                <w:top w:val="single" w:sz="6" w:space="31" w:color="F0C36D"/>
                <w:left w:val="single" w:sz="6" w:space="31" w:color="F0C36D"/>
                <w:bottom w:val="single" w:sz="6" w:space="31" w:color="F0C36D"/>
                <w:right w:val="single" w:sz="6" w:space="31" w:color="F0C36D"/>
              </w:divBdr>
            </w:div>
            <w:div w:id="12734101">
              <w:marLeft w:val="0"/>
              <w:marRight w:val="0"/>
              <w:marTop w:val="0"/>
              <w:marBottom w:val="0"/>
              <w:divBdr>
                <w:top w:val="single" w:sz="6" w:space="0" w:color="E5E5E5"/>
                <w:left w:val="none" w:sz="0" w:space="0" w:color="auto"/>
                <w:bottom w:val="none" w:sz="0" w:space="0" w:color="auto"/>
                <w:right w:val="none" w:sz="0" w:space="0" w:color="auto"/>
              </w:divBdr>
            </w:div>
            <w:div w:id="1273410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2734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1395</Words>
  <Characters>8237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zakázaných látek a metod pro rok 2015</dc:title>
  <dc:subject/>
  <dc:creator>Daniela</dc:creator>
  <cp:keywords/>
  <dc:description/>
  <cp:lastModifiedBy>David Opatrný</cp:lastModifiedBy>
  <cp:revision>2</cp:revision>
  <dcterms:created xsi:type="dcterms:W3CDTF">2014-11-28T14:16:00Z</dcterms:created>
  <dcterms:modified xsi:type="dcterms:W3CDTF">2014-11-28T14:16:00Z</dcterms:modified>
</cp:coreProperties>
</file>